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73" w:rsidRDefault="00F25673" w:rsidP="00AF1967">
      <w:pPr>
        <w:jc w:val="both"/>
        <w:rPr>
          <w:rFonts w:ascii="Arial" w:hAnsi="Arial" w:cs="Arial"/>
          <w:sz w:val="22"/>
        </w:rPr>
      </w:pPr>
      <w:r w:rsidRPr="007869C1">
        <w:rPr>
          <w:szCs w:val="20"/>
        </w:rPr>
        <w:t xml:space="preserve"> </w:t>
      </w:r>
      <w:r>
        <w:rPr>
          <w:rFonts w:ascii="Arial" w:hAnsi="Arial" w:cs="Arial"/>
          <w:sz w:val="22"/>
        </w:rPr>
        <w:t xml:space="preserve">No. </w:t>
      </w:r>
      <w:r w:rsidRPr="00315B4F">
        <w:rPr>
          <w:rFonts w:ascii="Arial" w:hAnsi="Arial" w:cs="Arial"/>
          <w:noProof/>
          <w:sz w:val="22"/>
        </w:rPr>
        <w:t>CE-500546-2016-17</w:t>
      </w:r>
      <w:r>
        <w:rPr>
          <w:rFonts w:ascii="Arial" w:hAnsi="Arial" w:cs="Arial"/>
          <w:sz w:val="22"/>
        </w:rPr>
        <w:t xml:space="preserve">                                                                      </w:t>
      </w:r>
      <w:r w:rsidR="00A8671E">
        <w:rPr>
          <w:rFonts w:ascii="Arial" w:hAnsi="Arial" w:cs="Arial"/>
          <w:sz w:val="22"/>
        </w:rPr>
        <w:t xml:space="preserve">                     Date: </w:t>
      </w:r>
      <w:r w:rsidR="00EB710E">
        <w:rPr>
          <w:rFonts w:ascii="Arial" w:hAnsi="Arial" w:cs="Arial"/>
          <w:sz w:val="22"/>
        </w:rPr>
        <w:t>May</w:t>
      </w:r>
      <w:r w:rsidR="00A8671E">
        <w:rPr>
          <w:rFonts w:ascii="Arial" w:hAnsi="Arial" w:cs="Arial"/>
          <w:sz w:val="22"/>
        </w:rPr>
        <w:t xml:space="preserve"> </w:t>
      </w:r>
      <w:r w:rsidR="00EB710E">
        <w:rPr>
          <w:rFonts w:ascii="Arial" w:hAnsi="Arial" w:cs="Arial"/>
          <w:sz w:val="22"/>
        </w:rPr>
        <w:t>23</w:t>
      </w:r>
      <w:r>
        <w:rPr>
          <w:rFonts w:ascii="Arial" w:hAnsi="Arial" w:cs="Arial"/>
          <w:sz w:val="22"/>
        </w:rPr>
        <w:t>, 2017</w:t>
      </w:r>
    </w:p>
    <w:p w:rsidR="00F25673" w:rsidRDefault="00F25673" w:rsidP="00AF1967">
      <w:pPr>
        <w:jc w:val="both"/>
        <w:rPr>
          <w:rFonts w:ascii="Arial" w:hAnsi="Arial" w:cs="Arial"/>
          <w:sz w:val="22"/>
          <w:szCs w:val="22"/>
        </w:rPr>
      </w:pPr>
    </w:p>
    <w:p w:rsidR="00F25673" w:rsidRDefault="00F25673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F25673" w:rsidRDefault="00F25673" w:rsidP="00AF1967">
      <w:pPr>
        <w:jc w:val="center"/>
        <w:rPr>
          <w:b/>
          <w:bCs/>
          <w:u w:val="single"/>
        </w:rPr>
      </w:pPr>
    </w:p>
    <w:p w:rsidR="00F25673" w:rsidRDefault="00EB710E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REMINDER</w:t>
      </w:r>
    </w:p>
    <w:p w:rsidR="00F25673" w:rsidRDefault="00F25673" w:rsidP="00AF1967">
      <w:pPr>
        <w:jc w:val="center"/>
        <w:rPr>
          <w:b/>
          <w:bCs/>
          <w:u w:val="single"/>
        </w:rPr>
      </w:pPr>
    </w:p>
    <w:p w:rsidR="00F25673" w:rsidRDefault="00F25673" w:rsidP="00AF1967">
      <w:pPr>
        <w:rPr>
          <w:b/>
          <w:bCs/>
          <w:noProof/>
        </w:rPr>
      </w:pPr>
      <w:r>
        <w:rPr>
          <w:b/>
          <w:bCs/>
        </w:rPr>
        <w:t xml:space="preserve">Subject: Supply &amp; Installation of </w:t>
      </w:r>
      <w:r w:rsidRPr="00315B4F">
        <w:rPr>
          <w:b/>
          <w:bCs/>
          <w:noProof/>
        </w:rPr>
        <w:t>Double Acting Hydraulic jack for Push and Pull Application,</w:t>
      </w:r>
    </w:p>
    <w:p w:rsidR="00F25673" w:rsidRDefault="00F25673" w:rsidP="00AF1967">
      <w:pPr>
        <w:rPr>
          <w:b/>
          <w:bCs/>
          <w:noProof/>
        </w:rPr>
      </w:pPr>
      <w:r>
        <w:rPr>
          <w:b/>
          <w:bCs/>
          <w:noProof/>
        </w:rPr>
        <w:t xml:space="preserve">              </w:t>
      </w:r>
      <w:r w:rsidRPr="00315B4F">
        <w:rPr>
          <w:b/>
          <w:bCs/>
          <w:noProof/>
        </w:rPr>
        <w:t xml:space="preserve"> 50kN Capacity</w:t>
      </w:r>
    </w:p>
    <w:p w:rsidR="00F25673" w:rsidRDefault="00F25673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F25673" w:rsidRDefault="00F25673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Indian Institute of Technology (Indian School of Mines), Dhanbad invites quotations for the following to be supplied and delivered in </w:t>
      </w:r>
      <w:r w:rsidRPr="00315B4F">
        <w:rPr>
          <w:rFonts w:ascii="Century" w:hAnsi="Century"/>
          <w:noProof/>
          <w:sz w:val="22"/>
          <w:szCs w:val="22"/>
        </w:rPr>
        <w:t>CE</w:t>
      </w:r>
      <w:r>
        <w:rPr>
          <w:rFonts w:ascii="Century" w:hAnsi="Century"/>
          <w:sz w:val="22"/>
          <w:szCs w:val="22"/>
        </w:rPr>
        <w:t xml:space="preserve"> Department. </w:t>
      </w:r>
    </w:p>
    <w:p w:rsidR="00F25673" w:rsidRDefault="00F25673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6"/>
        <w:gridCol w:w="1165"/>
        <w:gridCol w:w="1950"/>
      </w:tblGrid>
      <w:tr w:rsidR="00F25673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F25673" w:rsidTr="001B06A9">
        <w:trPr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5673" w:rsidRDefault="00F25673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rPr>
                <w:rFonts w:ascii="Century" w:hAnsi="Century" w:cs="Arial"/>
                <w:b/>
                <w:noProof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 w:rsidRPr="00315B4F">
              <w:rPr>
                <w:rFonts w:ascii="Century" w:hAnsi="Century" w:cs="Arial"/>
                <w:b/>
                <w:noProof/>
                <w:sz w:val="22"/>
                <w:szCs w:val="22"/>
              </w:rPr>
              <w:t>Double Acting Hydraulic jack for Push and Pull Application, 50kN Capacity</w:t>
            </w:r>
          </w:p>
          <w:p w:rsidR="00F25673" w:rsidRPr="00F25673" w:rsidRDefault="00F25673">
            <w:pPr>
              <w:rPr>
                <w:rFonts w:ascii="Century" w:hAnsi="Century" w:cs="Arial"/>
                <w:b/>
                <w:sz w:val="20"/>
                <w:szCs w:val="20"/>
              </w:rPr>
            </w:pPr>
            <w:r w:rsidRPr="00F25673">
              <w:rPr>
                <w:rFonts w:ascii="Century" w:hAnsi="Century" w:cs="Arial"/>
                <w:b/>
                <w:noProof/>
                <w:sz w:val="20"/>
                <w:szCs w:val="20"/>
              </w:rPr>
              <w:t>Total landed cost – total 03 years warranty</w:t>
            </w:r>
          </w:p>
          <w:p w:rsidR="00F25673" w:rsidRDefault="00F25673">
            <w:pPr>
              <w:rPr>
                <w:rFonts w:ascii="Century" w:hAnsi="Century" w:cs="Arial"/>
                <w:sz w:val="22"/>
                <w:szCs w:val="22"/>
              </w:rPr>
            </w:pPr>
            <w:r w:rsidRPr="00F25673">
              <w:rPr>
                <w:rFonts w:ascii="Century" w:hAnsi="Century" w:cs="Arial"/>
                <w:sz w:val="20"/>
                <w:szCs w:val="20"/>
              </w:rPr>
              <w:t>(Detailed Specification is given in Annexure – I, requirements and qualification criteria given in Annexure II 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315B4F">
              <w:rPr>
                <w:rFonts w:ascii="Century" w:hAnsi="Century" w:cs="Arial"/>
                <w:noProof/>
                <w:sz w:val="22"/>
                <w:szCs w:val="22"/>
              </w:rPr>
              <w:t>01 No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Ex-Stock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</w:tr>
    </w:tbl>
    <w:p w:rsidR="00F25673" w:rsidRDefault="00F25673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F25673" w:rsidRDefault="00F25673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F25673" w:rsidRDefault="00F25673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7"/>
        <w:gridCol w:w="4637"/>
      </w:tblGrid>
      <w:tr w:rsidR="00F25673" w:rsidTr="00EB710E">
        <w:trPr>
          <w:trHeight w:val="264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F25673" w:rsidTr="00EB710E">
        <w:trPr>
          <w:trHeight w:val="264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EB710E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09.06</w:t>
            </w:r>
            <w:r w:rsidR="00F25673">
              <w:rPr>
                <w:b/>
              </w:rPr>
              <w:t>.2017</w:t>
            </w:r>
            <w:r w:rsidR="00F25673">
              <w:rPr>
                <w:b/>
                <w:bCs/>
              </w:rPr>
              <w:t xml:space="preserve">  </w:t>
            </w:r>
            <w:r w:rsidR="00F25673">
              <w:rPr>
                <w:b/>
              </w:rPr>
              <w:t>at  3:00 P.M.</w:t>
            </w:r>
          </w:p>
        </w:tc>
      </w:tr>
      <w:tr w:rsidR="00F25673" w:rsidTr="00EB710E">
        <w:trPr>
          <w:trHeight w:val="265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EB710E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09.06</w:t>
            </w:r>
            <w:r w:rsidR="00F25673">
              <w:rPr>
                <w:b/>
              </w:rPr>
              <w:t>.2017</w:t>
            </w:r>
            <w:r w:rsidR="00F25673">
              <w:rPr>
                <w:b/>
                <w:bCs/>
              </w:rPr>
              <w:t xml:space="preserve">  </w:t>
            </w:r>
            <w:r w:rsidR="00F25673">
              <w:rPr>
                <w:b/>
              </w:rPr>
              <w:t>at  4.00 P.M.</w:t>
            </w:r>
          </w:p>
        </w:tc>
      </w:tr>
    </w:tbl>
    <w:p w:rsidR="00F25673" w:rsidRDefault="00F25673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F25673" w:rsidRDefault="00F25673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are requested to quote your lowest rates for the supply of above items in the attached</w:t>
      </w:r>
    </w:p>
    <w:p w:rsidR="00F25673" w:rsidRDefault="00F25673" w:rsidP="00F25673">
      <w:pPr>
        <w:pStyle w:val="Header"/>
        <w:tabs>
          <w:tab w:val="left" w:pos="720"/>
        </w:tabs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    format for Financial Bid (Annexure – III)</w:t>
      </w:r>
    </w:p>
    <w:p w:rsidR="00F25673" w:rsidRDefault="00F25673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may send your representative in the office of the undersigned at the scheduled date and</w:t>
      </w:r>
    </w:p>
    <w:p w:rsidR="00F25673" w:rsidRDefault="00F25673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time of opening of tender.</w:t>
      </w:r>
    </w:p>
    <w:p w:rsidR="00F25673" w:rsidRDefault="00F25673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Tender should be submitted in sealed cover only superscribed with Enquiry No. and due </w:t>
      </w:r>
    </w:p>
    <w:p w:rsidR="00F25673" w:rsidRDefault="00F25673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date at the following address only:</w:t>
      </w:r>
    </w:p>
    <w:p w:rsidR="00F25673" w:rsidRDefault="00F25673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P: 0326-2235612</w:t>
      </w: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E: </w:t>
      </w:r>
      <w:hyperlink r:id="rId8" w:history="1">
        <w:r>
          <w:rPr>
            <w:rStyle w:val="Hyperlink"/>
            <w:rFonts w:ascii="Century" w:hAnsi="Century" w:cs="Arial"/>
            <w:b/>
            <w:bCs/>
            <w:i/>
            <w:iCs/>
            <w:sz w:val="22"/>
            <w:szCs w:val="22"/>
          </w:rPr>
          <w:t>drps@ismdhanbad.ac.in</w:t>
        </w:r>
      </w:hyperlink>
      <w:r>
        <w:rPr>
          <w:sz w:val="22"/>
          <w:szCs w:val="22"/>
        </w:rPr>
        <w:t xml:space="preserve">                                                           </w:t>
      </w: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center"/>
        <w:rPr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EB710E" w:rsidRDefault="00EB710E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  <w:u w:val="single"/>
        </w:rPr>
      </w:pPr>
    </w:p>
    <w:p w:rsidR="00771DAC" w:rsidRDefault="00771DAC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  <w:u w:val="single"/>
        </w:rPr>
      </w:pPr>
    </w:p>
    <w:p w:rsidR="00771DAC" w:rsidRDefault="00771DAC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  <w:u w:val="single"/>
        </w:rPr>
      </w:pPr>
    </w:p>
    <w:p w:rsidR="00F25673" w:rsidRDefault="00F25673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t>Terms &amp; Conditions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rates should be quoted for each item separately.</w:t>
      </w:r>
    </w:p>
    <w:p w:rsidR="00F25673" w:rsidRDefault="00F25673" w:rsidP="00AF1967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sales tax/VAT applicable should be quoted.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You are requested to submit your quotation strictly as per the specifications mentioned in the NIT.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Your tender must be valid for </w:t>
      </w:r>
      <w:r>
        <w:rPr>
          <w:rFonts w:ascii="Century" w:hAnsi="Century" w:cs="Arial"/>
          <w:b/>
          <w:sz w:val="22"/>
          <w:szCs w:val="22"/>
        </w:rPr>
        <w:t>minimum 90 days</w:t>
      </w:r>
      <w:r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mention warranty/ guarantee in your offer clearly. Material/ equipment to be supplied must have minimum warranty/guarantee of </w:t>
      </w:r>
      <w:r>
        <w:rPr>
          <w:rFonts w:ascii="Century" w:hAnsi="Century" w:cs="Arial"/>
          <w:b/>
          <w:sz w:val="22"/>
          <w:szCs w:val="22"/>
        </w:rPr>
        <w:t>36 months.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 on every page of the bid.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The items/ materials shall be required to be delivered at </w:t>
      </w:r>
      <w:r w:rsidRPr="00315B4F">
        <w:rPr>
          <w:rFonts w:ascii="Century" w:hAnsi="Century" w:cs="Arial"/>
          <w:b/>
          <w:bCs/>
          <w:noProof/>
          <w:sz w:val="22"/>
          <w:szCs w:val="22"/>
        </w:rPr>
        <w:t>CE</w:t>
      </w:r>
      <w:r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 Dhanbad</w:t>
      </w:r>
      <w:r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stores are required to be delivered within 60 days. Late delivery may not be accepted.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within 3-4 weeks subject to receipt and acceptance &amp; installation (as per Purchase Order Terms) of the ordered materials/items.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t>In the event date on which the tender is opened for acceptance is declared to be a holiday, the tenders shall be deemed to remain open for acceptance till the next working day.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send your offer by Regd.Post/ Speed Post/ Courier along with Courier receipt. Tender/ quotation will be received during IIT (ISM) working hours only (i.e. Monday to Friday). </w:t>
      </w:r>
      <w:r>
        <w:rPr>
          <w:rFonts w:ascii="Century" w:hAnsi="Century" w:cs="Arial"/>
          <w:bCs/>
          <w:i/>
          <w:sz w:val="22"/>
          <w:szCs w:val="22"/>
        </w:rPr>
        <w:t>Late or delayed tenders shall be summarily rejected.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Any other information that you may like to obtain, you are free to contact IIT (ISM) before submission of tender.</w:t>
      </w:r>
    </w:p>
    <w:p w:rsidR="00F25673" w:rsidRDefault="00F25673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reserves the right to accept and/or to reject any/ all tenders without assigning any reason.</w:t>
      </w:r>
    </w:p>
    <w:p w:rsidR="00F25673" w:rsidRDefault="00F25673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F25673" w:rsidRDefault="00F25673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F25673" w:rsidRDefault="005762C2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Assistant</w:t>
      </w:r>
      <w:r w:rsidR="00F25673">
        <w:rPr>
          <w:rFonts w:ascii="Century" w:hAnsi="Century" w:cs="Arial"/>
          <w:sz w:val="22"/>
          <w:szCs w:val="22"/>
        </w:rPr>
        <w:t xml:space="preserve"> Registrar </w:t>
      </w:r>
    </w:p>
    <w:p w:rsidR="00F25673" w:rsidRDefault="00F25673" w:rsidP="00AF1967">
      <w:pPr>
        <w:jc w:val="right"/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rPr>
          <w:szCs w:val="20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FE7670">
      <w:pPr>
        <w:tabs>
          <w:tab w:val="left" w:pos="2100"/>
          <w:tab w:val="right" w:pos="10224"/>
        </w:tabs>
        <w:ind w:left="900" w:hanging="900"/>
        <w:rPr>
          <w:rFonts w:ascii="Century" w:hAnsi="Century"/>
          <w:bCs/>
          <w:iCs/>
          <w:sz w:val="22"/>
          <w:szCs w:val="22"/>
        </w:rPr>
      </w:pPr>
      <w:r w:rsidRPr="005762C2">
        <w:rPr>
          <w:rFonts w:ascii="Century" w:hAnsi="Century"/>
          <w:bCs/>
          <w:iCs/>
          <w:sz w:val="22"/>
          <w:szCs w:val="22"/>
          <w:u w:val="single"/>
        </w:rPr>
        <w:t>Technical Speci</w:t>
      </w:r>
      <w:r w:rsidR="005762C2" w:rsidRPr="005762C2">
        <w:rPr>
          <w:rFonts w:ascii="Century" w:hAnsi="Century"/>
          <w:bCs/>
          <w:iCs/>
          <w:sz w:val="22"/>
          <w:szCs w:val="22"/>
          <w:u w:val="single"/>
        </w:rPr>
        <w:t>fi</w:t>
      </w:r>
      <w:r w:rsidRPr="005762C2">
        <w:rPr>
          <w:rFonts w:ascii="Century" w:hAnsi="Century"/>
          <w:bCs/>
          <w:iCs/>
          <w:sz w:val="22"/>
          <w:szCs w:val="22"/>
          <w:u w:val="single"/>
        </w:rPr>
        <w:t>cations</w:t>
      </w:r>
      <w:r>
        <w:rPr>
          <w:rFonts w:ascii="Century" w:hAnsi="Century"/>
          <w:bCs/>
          <w:iCs/>
          <w:sz w:val="22"/>
          <w:szCs w:val="22"/>
        </w:rPr>
        <w:tab/>
      </w:r>
      <w:r w:rsidRPr="00FE7670">
        <w:rPr>
          <w:rFonts w:ascii="Century" w:hAnsi="Century"/>
          <w:bCs/>
          <w:iCs/>
          <w:sz w:val="22"/>
          <w:szCs w:val="22"/>
        </w:rPr>
        <w:t>Annexure I</w:t>
      </w:r>
    </w:p>
    <w:p w:rsidR="00FE7670" w:rsidRDefault="00FE7670" w:rsidP="00FE7670">
      <w:pPr>
        <w:tabs>
          <w:tab w:val="left" w:pos="2100"/>
          <w:tab w:val="right" w:pos="10224"/>
        </w:tabs>
        <w:ind w:left="900" w:hanging="900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Double Acting Hydraulic Jack for Push and Pull Application, 50 kN Capacity (Qty-Ol) #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1080"/>
          <w:tab w:val="left" w:pos="2100"/>
          <w:tab w:val="right" w:pos="10224"/>
        </w:tabs>
        <w:ind w:left="270" w:hanging="27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The hydraulic jack should be compatible for applying both the compressive and the </w:t>
      </w:r>
      <w:r w:rsidR="005762C2">
        <w:rPr>
          <w:rFonts w:ascii="Century" w:hAnsi="Century"/>
          <w:bCs/>
          <w:iCs/>
          <w:sz w:val="22"/>
          <w:szCs w:val="22"/>
        </w:rPr>
        <w:t xml:space="preserve">tensile load; </w:t>
      </w:r>
      <w:r w:rsidRPr="00FE7670">
        <w:rPr>
          <w:rFonts w:ascii="Century" w:hAnsi="Century"/>
          <w:bCs/>
          <w:iCs/>
          <w:sz w:val="22"/>
          <w:szCs w:val="22"/>
        </w:rPr>
        <w:t xml:space="preserve">i.e compatible for both push and pull applications.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Capacity of hydraulic jack: 50 kN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Ram travel: +/-100 mm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Ram travel velocity: 0.01 mm/min to 10 mm/min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Equipped with hydraulic oil tank with pump motor.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Material of construction of piston: SS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Vertical downward operation.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Equipped with back plate for mounting with loading frame.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27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The rate of application of load is to be controlled by oil flow control knob with variable flow velocity.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27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The controlling knob for flow of oil should be clearly marked indicating the ram travel velocity (for ease of operation). At-least markings for 0.01, 0.02, 0.05, 0.10, 0.20, 0.50, 1.00,2.00, 5.00, 10.00 mmlmin velocity are to be indicated.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Hydraulic jack do not include the loading frame.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27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The hydraulic jack to be supplied along with the Encoder witb Digital Display (for measuring the ram travel velocity of the hydraulic jack), Qty - 01.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The apparatus should be supplied with all necessary parts with sufficient hose pipe.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Product manual to be supplied with full details of the equipment and work procedure.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5762C2">
      <w:pPr>
        <w:tabs>
          <w:tab w:val="left" w:pos="2100"/>
          <w:tab w:val="right" w:pos="10224"/>
        </w:tabs>
        <w:ind w:left="720" w:hanging="72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>Note: Electrically operated equipments should be suitable for operation on 220 V, 50 Hz, Single Phase, AC supply.</w:t>
      </w:r>
    </w:p>
    <w:p w:rsidR="005762C2" w:rsidRDefault="005762C2" w:rsidP="005762C2">
      <w:pPr>
        <w:tabs>
          <w:tab w:val="left" w:pos="2100"/>
          <w:tab w:val="right" w:pos="10224"/>
        </w:tabs>
        <w:ind w:left="720" w:hanging="720"/>
        <w:jc w:val="both"/>
        <w:rPr>
          <w:rFonts w:ascii="Century" w:hAnsi="Century"/>
          <w:bCs/>
          <w:iCs/>
          <w:sz w:val="22"/>
          <w:szCs w:val="22"/>
        </w:rPr>
      </w:pPr>
    </w:p>
    <w:p w:rsidR="005762C2" w:rsidRDefault="005762C2" w:rsidP="005762C2">
      <w:pPr>
        <w:tabs>
          <w:tab w:val="left" w:pos="2100"/>
          <w:tab w:val="right" w:pos="10224"/>
        </w:tabs>
        <w:ind w:left="720" w:hanging="720"/>
        <w:jc w:val="both"/>
        <w:rPr>
          <w:rFonts w:ascii="Century" w:hAnsi="Century"/>
          <w:bCs/>
          <w:iCs/>
          <w:sz w:val="22"/>
          <w:szCs w:val="22"/>
        </w:rPr>
      </w:pPr>
      <w:r>
        <w:rPr>
          <w:rFonts w:ascii="Century" w:hAnsi="Century"/>
          <w:bCs/>
          <w:iCs/>
          <w:sz w:val="22"/>
          <w:szCs w:val="22"/>
        </w:rPr>
        <w:tab/>
      </w:r>
      <w:r w:rsidRPr="005762C2">
        <w:rPr>
          <w:rFonts w:ascii="Century" w:hAnsi="Century"/>
          <w:bCs/>
          <w:iCs/>
          <w:sz w:val="22"/>
          <w:szCs w:val="22"/>
        </w:rPr>
        <w:t xml:space="preserve"># Total landed cost of the equipment should include a total </w:t>
      </w:r>
      <w:r w:rsidRPr="005762C2">
        <w:rPr>
          <w:rFonts w:ascii="Century" w:hAnsi="Century"/>
          <w:b/>
          <w:bCs/>
          <w:iCs/>
          <w:sz w:val="22"/>
          <w:szCs w:val="22"/>
          <w:u w:val="single"/>
        </w:rPr>
        <w:t>of 03 year warranty</w:t>
      </w:r>
      <w:r w:rsidRPr="005762C2">
        <w:rPr>
          <w:rFonts w:ascii="Century" w:hAnsi="Century"/>
          <w:bCs/>
          <w:iCs/>
          <w:sz w:val="22"/>
          <w:szCs w:val="22"/>
        </w:rPr>
        <w:t>.</w:t>
      </w:r>
    </w:p>
    <w:p w:rsidR="00FE7670" w:rsidRDefault="00FE7670" w:rsidP="005762C2">
      <w:pPr>
        <w:tabs>
          <w:tab w:val="left" w:pos="2100"/>
          <w:tab w:val="right" w:pos="10224"/>
        </w:tabs>
        <w:ind w:left="907" w:hanging="907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5762C2">
      <w:pPr>
        <w:tabs>
          <w:tab w:val="left" w:pos="2100"/>
          <w:tab w:val="right" w:pos="10224"/>
        </w:tabs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rFonts w:ascii="Century" w:hAnsi="Century"/>
          <w:bCs/>
          <w:iCs/>
          <w:sz w:val="22"/>
          <w:szCs w:val="22"/>
        </w:rPr>
      </w:pPr>
      <w:r w:rsidRPr="005762C2">
        <w:rPr>
          <w:rFonts w:ascii="Century" w:hAnsi="Century"/>
          <w:bCs/>
          <w:iCs/>
          <w:sz w:val="22"/>
          <w:szCs w:val="22"/>
          <w:u w:val="single"/>
        </w:rPr>
        <w:t>General Requirements and Qualification Criteria</w:t>
      </w:r>
      <w:r w:rsidRPr="00FE7670">
        <w:rPr>
          <w:rFonts w:ascii="Century" w:hAnsi="Century"/>
          <w:bCs/>
          <w:iCs/>
          <w:sz w:val="22"/>
          <w:szCs w:val="22"/>
        </w:rPr>
        <w:tab/>
        <w:t>Annexure II</w:t>
      </w:r>
    </w:p>
    <w:p w:rsidR="00FE7670" w:rsidRPr="00FE7670" w:rsidRDefault="00FE7670" w:rsidP="00FE7670">
      <w:pPr>
        <w:tabs>
          <w:tab w:val="left" w:pos="2100"/>
          <w:tab w:val="right" w:pos="10224"/>
        </w:tabs>
        <w:ind w:left="900" w:hanging="900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18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>• Manufacturer should have comprehensive production facilities, after sales service facility &amp; infrastructure, Accredited Calibration and Quality control</w:t>
      </w:r>
      <w:r w:rsidR="005762C2">
        <w:rPr>
          <w:rFonts w:ascii="Century" w:hAnsi="Century"/>
          <w:bCs/>
          <w:iCs/>
          <w:sz w:val="22"/>
          <w:szCs w:val="22"/>
        </w:rPr>
        <w:t xml:space="preserve"> Test Laboratory. Manufacturing </w:t>
      </w:r>
      <w:r w:rsidRPr="00FE7670">
        <w:rPr>
          <w:rFonts w:ascii="Century" w:hAnsi="Century"/>
          <w:bCs/>
          <w:iCs/>
          <w:sz w:val="22"/>
          <w:szCs w:val="22"/>
        </w:rPr>
        <w:t xml:space="preserve">Capacity &amp; capabilities of the supplier and workmanship of the </w:t>
      </w:r>
      <w:r w:rsidR="005762C2">
        <w:rPr>
          <w:rFonts w:ascii="Century" w:hAnsi="Century"/>
          <w:bCs/>
          <w:iCs/>
          <w:sz w:val="22"/>
          <w:szCs w:val="22"/>
        </w:rPr>
        <w:t xml:space="preserve">instrument shall be assessed by </w:t>
      </w:r>
      <w:r w:rsidRPr="00FE7670">
        <w:rPr>
          <w:rFonts w:ascii="Century" w:hAnsi="Century"/>
          <w:bCs/>
          <w:iCs/>
          <w:sz w:val="22"/>
          <w:szCs w:val="22"/>
        </w:rPr>
        <w:t xml:space="preserve">concerned official before finalizing the order.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The company should have NABL accredited service wing.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18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Manufacturing of the machine should be as per required testing standards/Tender specification within the specified tolerance limits.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>• Qualified Service Engineer and customer support Staff should be available in the local office in the nearest metropolitan city. They should impart necessary trainin</w:t>
      </w:r>
      <w:r w:rsidR="005762C2">
        <w:rPr>
          <w:rFonts w:ascii="Century" w:hAnsi="Century"/>
          <w:bCs/>
          <w:iCs/>
          <w:sz w:val="22"/>
          <w:szCs w:val="22"/>
        </w:rPr>
        <w:t xml:space="preserve">g to our personal for operation </w:t>
      </w:r>
      <w:r w:rsidRPr="00FE7670">
        <w:rPr>
          <w:rFonts w:ascii="Century" w:hAnsi="Century"/>
          <w:bCs/>
          <w:iCs/>
          <w:sz w:val="22"/>
          <w:szCs w:val="22"/>
        </w:rPr>
        <w:t xml:space="preserve">the Equipment supplied.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18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Authority may visit bidder's workslUsers place to evaluate the quality Control, after sales backup facility, expert availability etc.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Supplier should have capacity and experience of carrying out Annual Maintenance contract with the users of their MlC and proof of such documentation will be preferred.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>• Vendor must have supplied in earlier instances three working models either at lISe, IIT or NIT</w:t>
      </w:r>
      <w:r w:rsidR="005762C2">
        <w:rPr>
          <w:rFonts w:ascii="Century" w:hAnsi="Century"/>
          <w:bCs/>
          <w:iCs/>
          <w:sz w:val="22"/>
          <w:szCs w:val="22"/>
        </w:rPr>
        <w:t>.</w:t>
      </w:r>
      <w:r w:rsidRPr="00FE7670">
        <w:rPr>
          <w:rFonts w:ascii="Century" w:hAnsi="Century"/>
          <w:bCs/>
          <w:iCs/>
          <w:sz w:val="22"/>
          <w:szCs w:val="22"/>
        </w:rPr>
        <w:t xml:space="preserve"> The purchase order of the same must be produced.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Vender must supply original catalogue with Photo and Model number of equipment along with signature. The details also should be available in the website of the manufacturer.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270" w:hanging="18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 xml:space="preserve">• Reference standards of the equipments should be mentionedlhighlighted in original catalogue </w:t>
      </w:r>
      <w:r w:rsidR="005762C2">
        <w:rPr>
          <w:rFonts w:ascii="Century" w:hAnsi="Century"/>
          <w:bCs/>
          <w:iCs/>
          <w:sz w:val="22"/>
          <w:szCs w:val="22"/>
        </w:rPr>
        <w:t xml:space="preserve">and </w:t>
      </w:r>
      <w:r w:rsidRPr="00FE7670">
        <w:rPr>
          <w:rFonts w:ascii="Century" w:hAnsi="Century"/>
          <w:bCs/>
          <w:iCs/>
          <w:sz w:val="22"/>
          <w:szCs w:val="22"/>
        </w:rPr>
        <w:t xml:space="preserve">in technical bid. 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18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5762C2" w:rsidP="005762C2">
      <w:pPr>
        <w:tabs>
          <w:tab w:val="left" w:pos="2100"/>
          <w:tab w:val="right" w:pos="10224"/>
        </w:tabs>
        <w:ind w:left="360" w:hanging="180"/>
        <w:jc w:val="both"/>
        <w:rPr>
          <w:rFonts w:ascii="Century" w:hAnsi="Century"/>
          <w:bCs/>
          <w:iCs/>
          <w:sz w:val="22"/>
          <w:szCs w:val="22"/>
        </w:rPr>
      </w:pPr>
      <w:r>
        <w:rPr>
          <w:rFonts w:ascii="Century" w:hAnsi="Century"/>
          <w:bCs/>
          <w:iCs/>
          <w:sz w:val="22"/>
          <w:szCs w:val="22"/>
        </w:rPr>
        <w:t xml:space="preserve">• </w:t>
      </w:r>
      <w:r w:rsidR="00FE7670" w:rsidRPr="00FE7670">
        <w:rPr>
          <w:rFonts w:ascii="Century" w:hAnsi="Century"/>
          <w:bCs/>
          <w:iCs/>
          <w:sz w:val="22"/>
          <w:szCs w:val="22"/>
        </w:rPr>
        <w:t>Supplier/manufacturer blacklisted by any Govt. Organization will not be considered. A declaration letter mentioning the same must be submitted.</w:t>
      </w: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900"/>
        <w:jc w:val="both"/>
        <w:rPr>
          <w:rFonts w:ascii="Century" w:hAnsi="Century"/>
          <w:bCs/>
          <w:iCs/>
          <w:sz w:val="22"/>
          <w:szCs w:val="22"/>
        </w:rPr>
      </w:pPr>
    </w:p>
    <w:p w:rsidR="00FE7670" w:rsidRPr="00FE7670" w:rsidRDefault="00FE7670" w:rsidP="005762C2">
      <w:pPr>
        <w:tabs>
          <w:tab w:val="left" w:pos="2100"/>
          <w:tab w:val="right" w:pos="10224"/>
        </w:tabs>
        <w:ind w:left="900" w:hanging="900"/>
        <w:jc w:val="both"/>
        <w:rPr>
          <w:rFonts w:ascii="Century" w:hAnsi="Century"/>
          <w:bCs/>
          <w:iCs/>
          <w:sz w:val="22"/>
          <w:szCs w:val="22"/>
        </w:rPr>
      </w:pPr>
      <w:r w:rsidRPr="00FE7670">
        <w:rPr>
          <w:rFonts w:ascii="Century" w:hAnsi="Century"/>
          <w:bCs/>
          <w:iCs/>
          <w:sz w:val="22"/>
          <w:szCs w:val="22"/>
        </w:rPr>
        <w:t>Necessary Documents should be produced to support the above clauses.</w:t>
      </w: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5762C2">
      <w:pPr>
        <w:tabs>
          <w:tab w:val="left" w:pos="2100"/>
          <w:tab w:val="right" w:pos="10224"/>
        </w:tabs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E7670" w:rsidRDefault="00FE7670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Annexure - III</w:t>
      </w: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Pr="00315B4F">
        <w:rPr>
          <w:rFonts w:ascii="Arial" w:hAnsi="Arial" w:cs="Arial"/>
          <w:noProof/>
          <w:sz w:val="22"/>
        </w:rPr>
        <w:t>CE-500546-2016-17</w:t>
      </w:r>
      <w:r>
        <w:t xml:space="preserve">                                                                           Dated:</w:t>
      </w: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Dated:</w:t>
      </w: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F25673" w:rsidRDefault="00F25673" w:rsidP="00DE5F5B">
      <w:pPr>
        <w:rPr>
          <w:b/>
          <w:bCs/>
          <w:noProof/>
        </w:rPr>
      </w:pPr>
      <w:r>
        <w:rPr>
          <w:b/>
          <w:bCs/>
        </w:rPr>
        <w:t xml:space="preserve">Subject: </w:t>
      </w:r>
      <w:r>
        <w:rPr>
          <w:b/>
          <w:bCs/>
          <w:noProof/>
        </w:rPr>
        <w:t>Supply &amp; Installation of</w:t>
      </w:r>
      <w:r>
        <w:rPr>
          <w:rFonts w:ascii="Century" w:hAnsi="Century" w:cs="Arial"/>
          <w:b/>
          <w:sz w:val="22"/>
          <w:szCs w:val="22"/>
        </w:rPr>
        <w:t xml:space="preserve"> </w:t>
      </w:r>
      <w:r w:rsidRPr="00315B4F">
        <w:rPr>
          <w:b/>
          <w:bCs/>
          <w:noProof/>
        </w:rPr>
        <w:t>Double Acting Hydraulic jack for Push and Pull Application,</w:t>
      </w:r>
    </w:p>
    <w:p w:rsidR="00F25673" w:rsidRDefault="00F25673" w:rsidP="00DE5F5B">
      <w:pPr>
        <w:rPr>
          <w:b/>
          <w:bCs/>
          <w:noProof/>
        </w:rPr>
      </w:pPr>
      <w:r>
        <w:rPr>
          <w:b/>
          <w:bCs/>
          <w:noProof/>
        </w:rPr>
        <w:t xml:space="preserve">              </w:t>
      </w:r>
      <w:r w:rsidRPr="00315B4F">
        <w:rPr>
          <w:b/>
          <w:bCs/>
          <w:noProof/>
        </w:rPr>
        <w:t xml:space="preserve"> 50kN Capacity</w:t>
      </w:r>
    </w:p>
    <w:p w:rsidR="00F25673" w:rsidRDefault="00F25673" w:rsidP="00DE5F5B">
      <w:pPr>
        <w:rPr>
          <w:rFonts w:ascii="Century" w:hAnsi="Century" w:cs="Arial"/>
          <w:b/>
          <w:sz w:val="22"/>
          <w:szCs w:val="22"/>
        </w:rPr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560"/>
        <w:gridCol w:w="1611"/>
        <w:gridCol w:w="1879"/>
        <w:gridCol w:w="1329"/>
      </w:tblGrid>
      <w:tr w:rsidR="00F25673" w:rsidTr="00F2567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F25673" w:rsidTr="00F2567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F25673" w:rsidTr="00F2567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F25673" w:rsidTr="00F2567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F25673" w:rsidTr="00F2567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right"/>
            </w:pPr>
            <w:r>
              <w:t>CST/VAT (if any)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F25673" w:rsidTr="00F2567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F25673" w:rsidTr="00F2567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F25673" w:rsidTr="00F25673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F25673" w:rsidRDefault="00F25673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F25673" w:rsidRDefault="00F25673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F25673" w:rsidRDefault="00F25673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F25673" w:rsidRDefault="00F25673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2) Prices quoted by the bidders should include all local taxes, VAT, service tax, duties, livies, transportation cost</w:t>
      </w:r>
    </w:p>
    <w:p w:rsidR="00F25673" w:rsidRDefault="00F25673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    and insurance costs etc. if any</w:t>
      </w:r>
    </w:p>
    <w:p w:rsidR="00F25673" w:rsidRDefault="00F25673" w:rsidP="00AF196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F25673" w:rsidRDefault="00F25673" w:rsidP="007869C1">
      <w:pPr>
        <w:rPr>
          <w:szCs w:val="20"/>
        </w:rPr>
        <w:sectPr w:rsidR="00F25673" w:rsidSect="009874A3">
          <w:headerReference w:type="default" r:id="rId9"/>
          <w:pgSz w:w="11909" w:h="16834" w:code="9"/>
          <w:pgMar w:top="656" w:right="1021" w:bottom="454" w:left="720" w:header="431" w:footer="147" w:gutter="0"/>
          <w:pgNumType w:start="1"/>
          <w:cols w:space="708"/>
          <w:docGrid w:linePitch="360"/>
        </w:sectPr>
      </w:pPr>
    </w:p>
    <w:p w:rsidR="00F25673" w:rsidRDefault="00F25673" w:rsidP="007869C1">
      <w:pPr>
        <w:rPr>
          <w:szCs w:val="20"/>
        </w:rPr>
        <w:sectPr w:rsidR="00F25673" w:rsidSect="009874A3">
          <w:headerReference w:type="default" r:id="rId10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F25673" w:rsidRDefault="00F25673" w:rsidP="007869C1">
      <w:pPr>
        <w:rPr>
          <w:szCs w:val="20"/>
        </w:rPr>
      </w:pPr>
    </w:p>
    <w:sectPr w:rsidR="00F25673" w:rsidSect="00F25673">
      <w:headerReference w:type="default" r:id="rId11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0A" w:rsidRDefault="0070380A">
      <w:r>
        <w:separator/>
      </w:r>
    </w:p>
  </w:endnote>
  <w:endnote w:type="continuationSeparator" w:id="1">
    <w:p w:rsidR="0070380A" w:rsidRDefault="0070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 Condense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0A" w:rsidRDefault="0070380A">
      <w:r>
        <w:separator/>
      </w:r>
    </w:p>
  </w:footnote>
  <w:footnote w:type="continuationSeparator" w:id="1">
    <w:p w:rsidR="0070380A" w:rsidRDefault="00703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3" w:rsidRPr="00093F6A" w:rsidRDefault="00A82C5A" w:rsidP="00093F6A">
    <w:pPr>
      <w:pStyle w:val="Header"/>
      <w:rPr>
        <w:szCs w:val="16"/>
      </w:rPr>
    </w:pPr>
    <w:r w:rsidRPr="00A82C5A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6pt;margin-top:109.45pt;width:598pt;height:0;z-index:251658752" o:connectortype="straight" strokecolor="#000060" strokeweight="1.75pt"/>
      </w:pict>
    </w:r>
    <w:r w:rsidR="00F25673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2" name="Picture 2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3" w:rsidRPr="00093F6A" w:rsidRDefault="00A82C5A" w:rsidP="00093F6A">
    <w:pPr>
      <w:pStyle w:val="Header"/>
      <w:rPr>
        <w:szCs w:val="16"/>
      </w:rPr>
    </w:pPr>
    <w:r w:rsidRPr="00A82C5A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6704" o:connectortype="straight" strokecolor="#000060" strokeweight="1.75pt"/>
      </w:pict>
    </w:r>
    <w:r w:rsidR="00F25673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3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6A" w:rsidRPr="00093F6A" w:rsidRDefault="00A82C5A" w:rsidP="00093F6A">
    <w:pPr>
      <w:pStyle w:val="Header"/>
      <w:rPr>
        <w:szCs w:val="16"/>
      </w:rPr>
    </w:pPr>
    <w:r w:rsidRPr="00A82C5A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7728" o:connectortype="straight" strokecolor="#000060" strokeweight="1.75pt"/>
      </w:pict>
    </w:r>
    <w:r w:rsidR="009874A3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A2840FB4"/>
    <w:lvl w:ilvl="0" w:tplc="22E40E8E">
      <w:start w:val="1"/>
      <w:numFmt w:val="decimal"/>
      <w:suff w:val="space"/>
      <w:lvlText w:val="%1."/>
      <w:lvlJc w:val="left"/>
      <w:pPr>
        <w:ind w:left="1080" w:hanging="360"/>
      </w:pPr>
      <w:rPr>
        <w:rFonts w:ascii="DevLys 010 Condensed" w:hAnsi="DevLys 010 Condense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E4C"/>
    <w:rsid w:val="00040C33"/>
    <w:rsid w:val="000444D6"/>
    <w:rsid w:val="0004511D"/>
    <w:rsid w:val="000455E9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6BBD"/>
    <w:rsid w:val="00080478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193E"/>
    <w:rsid w:val="000C249C"/>
    <w:rsid w:val="000C2528"/>
    <w:rsid w:val="000C2DDD"/>
    <w:rsid w:val="000C4131"/>
    <w:rsid w:val="000C43BA"/>
    <w:rsid w:val="000C4F14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5988"/>
    <w:rsid w:val="00125AED"/>
    <w:rsid w:val="00125F49"/>
    <w:rsid w:val="00126A39"/>
    <w:rsid w:val="00127075"/>
    <w:rsid w:val="00127313"/>
    <w:rsid w:val="00130665"/>
    <w:rsid w:val="00134123"/>
    <w:rsid w:val="001345A6"/>
    <w:rsid w:val="00134857"/>
    <w:rsid w:val="001348EB"/>
    <w:rsid w:val="00134971"/>
    <w:rsid w:val="00135D13"/>
    <w:rsid w:val="00135D6F"/>
    <w:rsid w:val="0013645E"/>
    <w:rsid w:val="00137C4F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4116"/>
    <w:rsid w:val="00185E89"/>
    <w:rsid w:val="00186097"/>
    <w:rsid w:val="00186A24"/>
    <w:rsid w:val="001874C0"/>
    <w:rsid w:val="00192FC2"/>
    <w:rsid w:val="00194844"/>
    <w:rsid w:val="00195A73"/>
    <w:rsid w:val="0019629B"/>
    <w:rsid w:val="0019752C"/>
    <w:rsid w:val="001A0664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253E"/>
    <w:rsid w:val="00222D3B"/>
    <w:rsid w:val="00223E3B"/>
    <w:rsid w:val="00224DB6"/>
    <w:rsid w:val="0022685A"/>
    <w:rsid w:val="00230333"/>
    <w:rsid w:val="00232EBD"/>
    <w:rsid w:val="00233F93"/>
    <w:rsid w:val="0023495E"/>
    <w:rsid w:val="00237AAE"/>
    <w:rsid w:val="00237D11"/>
    <w:rsid w:val="00240666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93799"/>
    <w:rsid w:val="002938A9"/>
    <w:rsid w:val="00293F21"/>
    <w:rsid w:val="00296007"/>
    <w:rsid w:val="0029726A"/>
    <w:rsid w:val="002975D7"/>
    <w:rsid w:val="002A022A"/>
    <w:rsid w:val="002A0EBC"/>
    <w:rsid w:val="002A140F"/>
    <w:rsid w:val="002A177E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20FD"/>
    <w:rsid w:val="00342891"/>
    <w:rsid w:val="00343467"/>
    <w:rsid w:val="00344EE2"/>
    <w:rsid w:val="0034548C"/>
    <w:rsid w:val="00350F9B"/>
    <w:rsid w:val="003511F1"/>
    <w:rsid w:val="00351571"/>
    <w:rsid w:val="0035288D"/>
    <w:rsid w:val="00352A79"/>
    <w:rsid w:val="00353316"/>
    <w:rsid w:val="00353679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577"/>
    <w:rsid w:val="00374C01"/>
    <w:rsid w:val="00375346"/>
    <w:rsid w:val="00376246"/>
    <w:rsid w:val="00376718"/>
    <w:rsid w:val="003768F1"/>
    <w:rsid w:val="003815C1"/>
    <w:rsid w:val="0038341D"/>
    <w:rsid w:val="00383660"/>
    <w:rsid w:val="0038426D"/>
    <w:rsid w:val="003870F2"/>
    <w:rsid w:val="00390D38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385B"/>
    <w:rsid w:val="003D3AC4"/>
    <w:rsid w:val="003D53DE"/>
    <w:rsid w:val="003D5B6E"/>
    <w:rsid w:val="003D61F9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4E5C"/>
    <w:rsid w:val="00424ECB"/>
    <w:rsid w:val="004269DB"/>
    <w:rsid w:val="00427627"/>
    <w:rsid w:val="00430EC8"/>
    <w:rsid w:val="0043380A"/>
    <w:rsid w:val="00434263"/>
    <w:rsid w:val="00434317"/>
    <w:rsid w:val="00434A57"/>
    <w:rsid w:val="004369A2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F4B"/>
    <w:rsid w:val="004F37C3"/>
    <w:rsid w:val="004F38E8"/>
    <w:rsid w:val="004F53E7"/>
    <w:rsid w:val="004F65D3"/>
    <w:rsid w:val="004F6B2B"/>
    <w:rsid w:val="004F7DD3"/>
    <w:rsid w:val="00500A9F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2C2"/>
    <w:rsid w:val="00576484"/>
    <w:rsid w:val="00576AA7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48D6"/>
    <w:rsid w:val="005E4F51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193B"/>
    <w:rsid w:val="00621D20"/>
    <w:rsid w:val="00625018"/>
    <w:rsid w:val="006257AD"/>
    <w:rsid w:val="00626D4D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380A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1DAC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08AB"/>
    <w:rsid w:val="007A49CF"/>
    <w:rsid w:val="007A4A9E"/>
    <w:rsid w:val="007A5682"/>
    <w:rsid w:val="007A5F71"/>
    <w:rsid w:val="007A6E84"/>
    <w:rsid w:val="007A6E95"/>
    <w:rsid w:val="007B05B3"/>
    <w:rsid w:val="007B0D21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8018EA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3D6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4C93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5F9"/>
    <w:rsid w:val="00983689"/>
    <w:rsid w:val="00985F32"/>
    <w:rsid w:val="009874A3"/>
    <w:rsid w:val="0098792F"/>
    <w:rsid w:val="00987E1C"/>
    <w:rsid w:val="00990587"/>
    <w:rsid w:val="0099410A"/>
    <w:rsid w:val="0099615D"/>
    <w:rsid w:val="00996C80"/>
    <w:rsid w:val="009A0EBC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95E"/>
    <w:rsid w:val="009C26FB"/>
    <w:rsid w:val="009C4734"/>
    <w:rsid w:val="009C6767"/>
    <w:rsid w:val="009C6A28"/>
    <w:rsid w:val="009C7829"/>
    <w:rsid w:val="009D000B"/>
    <w:rsid w:val="009D12C7"/>
    <w:rsid w:val="009D179A"/>
    <w:rsid w:val="009D2704"/>
    <w:rsid w:val="009D3038"/>
    <w:rsid w:val="009D4164"/>
    <w:rsid w:val="009D4C7B"/>
    <w:rsid w:val="009D4E52"/>
    <w:rsid w:val="009D512C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B66"/>
    <w:rsid w:val="00A17835"/>
    <w:rsid w:val="00A17F13"/>
    <w:rsid w:val="00A20F3A"/>
    <w:rsid w:val="00A226C8"/>
    <w:rsid w:val="00A238FE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7048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2C5A"/>
    <w:rsid w:val="00A83721"/>
    <w:rsid w:val="00A83B6F"/>
    <w:rsid w:val="00A85020"/>
    <w:rsid w:val="00A8533D"/>
    <w:rsid w:val="00A8612C"/>
    <w:rsid w:val="00A861BE"/>
    <w:rsid w:val="00A8671E"/>
    <w:rsid w:val="00A869B3"/>
    <w:rsid w:val="00A86BB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114C"/>
    <w:rsid w:val="00AC2F79"/>
    <w:rsid w:val="00AC31DC"/>
    <w:rsid w:val="00AC44F3"/>
    <w:rsid w:val="00AC52E0"/>
    <w:rsid w:val="00AC5F1D"/>
    <w:rsid w:val="00AC70FB"/>
    <w:rsid w:val="00AC7149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5238"/>
    <w:rsid w:val="00AF6197"/>
    <w:rsid w:val="00B00573"/>
    <w:rsid w:val="00B01805"/>
    <w:rsid w:val="00B02015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4446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5F55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EBA"/>
    <w:rsid w:val="00C1556E"/>
    <w:rsid w:val="00C16251"/>
    <w:rsid w:val="00C23574"/>
    <w:rsid w:val="00C238F0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5FFD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6758"/>
    <w:rsid w:val="00C57AAB"/>
    <w:rsid w:val="00C63272"/>
    <w:rsid w:val="00C63608"/>
    <w:rsid w:val="00C63A46"/>
    <w:rsid w:val="00C65934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7944"/>
    <w:rsid w:val="00C97FEC"/>
    <w:rsid w:val="00CA1A88"/>
    <w:rsid w:val="00CA209C"/>
    <w:rsid w:val="00CA340C"/>
    <w:rsid w:val="00CA3E71"/>
    <w:rsid w:val="00CA44D4"/>
    <w:rsid w:val="00CA5972"/>
    <w:rsid w:val="00CA5CC8"/>
    <w:rsid w:val="00CA6D67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6854"/>
    <w:rsid w:val="00CF7967"/>
    <w:rsid w:val="00D00C74"/>
    <w:rsid w:val="00D00CEB"/>
    <w:rsid w:val="00D0397C"/>
    <w:rsid w:val="00D04640"/>
    <w:rsid w:val="00D046A3"/>
    <w:rsid w:val="00D04FA9"/>
    <w:rsid w:val="00D052E3"/>
    <w:rsid w:val="00D10971"/>
    <w:rsid w:val="00D112B0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76"/>
    <w:rsid w:val="00D72B96"/>
    <w:rsid w:val="00D72BC8"/>
    <w:rsid w:val="00D73896"/>
    <w:rsid w:val="00D74D59"/>
    <w:rsid w:val="00D753DC"/>
    <w:rsid w:val="00D75CCA"/>
    <w:rsid w:val="00D779B2"/>
    <w:rsid w:val="00D8025A"/>
    <w:rsid w:val="00D8153E"/>
    <w:rsid w:val="00D81C05"/>
    <w:rsid w:val="00D829C7"/>
    <w:rsid w:val="00D82E6D"/>
    <w:rsid w:val="00D8384E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EFE"/>
    <w:rsid w:val="00E73356"/>
    <w:rsid w:val="00E750A7"/>
    <w:rsid w:val="00E759E6"/>
    <w:rsid w:val="00E81649"/>
    <w:rsid w:val="00E839CB"/>
    <w:rsid w:val="00E84001"/>
    <w:rsid w:val="00E867C0"/>
    <w:rsid w:val="00E871FA"/>
    <w:rsid w:val="00E90655"/>
    <w:rsid w:val="00E9224A"/>
    <w:rsid w:val="00E94B88"/>
    <w:rsid w:val="00E972E9"/>
    <w:rsid w:val="00EA0146"/>
    <w:rsid w:val="00EA055C"/>
    <w:rsid w:val="00EA2FDF"/>
    <w:rsid w:val="00EA3050"/>
    <w:rsid w:val="00EA405B"/>
    <w:rsid w:val="00EA54B2"/>
    <w:rsid w:val="00EA57C7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B710E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1278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673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5EBF"/>
    <w:rsid w:val="00FD6994"/>
    <w:rsid w:val="00FE283C"/>
    <w:rsid w:val="00FE5590"/>
    <w:rsid w:val="00FE7670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s@ismdhanbad.ac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A6E-EA00-495F-87B0-3B4D99CD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SHAIWALENI</cp:lastModifiedBy>
  <cp:revision>3</cp:revision>
  <cp:lastPrinted>2017-05-23T18:55:00Z</cp:lastPrinted>
  <dcterms:created xsi:type="dcterms:W3CDTF">2017-03-31T06:47:00Z</dcterms:created>
  <dcterms:modified xsi:type="dcterms:W3CDTF">2017-05-23T23:49:00Z</dcterms:modified>
</cp:coreProperties>
</file>